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D6" w:rsidRPr="00617104" w:rsidRDefault="00164A5A" w:rsidP="008102D6">
      <w:pPr>
        <w:ind w:firstLine="720"/>
      </w:pPr>
      <w:r w:rsidRPr="00617104">
        <w:t>The Scopes trial embodied tension between science and modernism versus tradition and fundamentalism during the interwar period.  The hi</w:t>
      </w:r>
      <w:r w:rsidR="00BD018C">
        <w:t>story behind</w:t>
      </w:r>
      <w:r w:rsidR="00350720" w:rsidRPr="00617104">
        <w:t xml:space="preserve"> this </w:t>
      </w:r>
      <w:r w:rsidR="000C7F36" w:rsidRPr="00617104">
        <w:t>trial includes p</w:t>
      </w:r>
      <w:r w:rsidRPr="00617104">
        <w:t>ostbell</w:t>
      </w:r>
      <w:r w:rsidR="000C7F36" w:rsidRPr="00617104">
        <w:t xml:space="preserve">um geographic </w:t>
      </w:r>
      <w:r w:rsidR="0081480E">
        <w:t xml:space="preserve">expansion </w:t>
      </w:r>
      <w:r w:rsidR="000C7F36" w:rsidRPr="00617104">
        <w:t xml:space="preserve">and economic </w:t>
      </w:r>
      <w:r w:rsidR="0081480E">
        <w:t>revolutions</w:t>
      </w:r>
      <w:r w:rsidR="000C7F36" w:rsidRPr="00617104">
        <w:t>;</w:t>
      </w:r>
      <w:r w:rsidRPr="00617104">
        <w:t xml:space="preserve"> mid-19</w:t>
      </w:r>
      <w:r w:rsidRPr="00617104">
        <w:rPr>
          <w:vertAlign w:val="superscript"/>
        </w:rPr>
        <w:t>th</w:t>
      </w:r>
      <w:r w:rsidRPr="00617104">
        <w:t xml:space="preserve"> century scientific a</w:t>
      </w:r>
      <w:r w:rsidR="000C7F36" w:rsidRPr="00617104">
        <w:t xml:space="preserve">nd pseudoscientific trends, which impacted </w:t>
      </w:r>
      <w:r w:rsidR="00350720" w:rsidRPr="00617104">
        <w:t xml:space="preserve">law, </w:t>
      </w:r>
      <w:r w:rsidR="000C7F36" w:rsidRPr="00617104">
        <w:t>public policy</w:t>
      </w:r>
      <w:r w:rsidR="00350720" w:rsidRPr="00617104">
        <w:t>, and social movements</w:t>
      </w:r>
      <w:r w:rsidR="000C7F36" w:rsidRPr="00617104">
        <w:t>; and technological advancements, both military and cultural.</w:t>
      </w:r>
      <w:r w:rsidR="008102D6">
        <w:t xml:space="preserve">  The celebrities of this case, Clarence Darrow and William Jennings Bryan, represented these tensions and concerns, and they propelled this case far beyond the confines of Dayton, Tennessee.</w:t>
      </w:r>
    </w:p>
    <w:p w:rsidR="00A27DE2" w:rsidRDefault="00617104" w:rsidP="00617104">
      <w:r>
        <w:tab/>
        <w:t>The shadow of the Civil War loomed over the Scopes trial.  Parties to both the defense and prosecution intended to “re-fight the Civil War”</w:t>
      </w:r>
      <w:r w:rsidR="00AD250B">
        <w:t>:</w:t>
      </w:r>
      <w:r>
        <w:t xml:space="preserve"> the North came down to tell Southern “yokels” what</w:t>
      </w:r>
      <w:r w:rsidR="00DC5225">
        <w:t xml:space="preserve"> i</w:t>
      </w:r>
      <w:r>
        <w:t xml:space="preserve">s right, while the South intended to honorably </w:t>
      </w:r>
      <w:r w:rsidR="00B05831">
        <w:t>defend itself from a</w:t>
      </w:r>
      <w:r w:rsidR="00DC5225">
        <w:t xml:space="preserve"> Yankee</w:t>
      </w:r>
      <w:r>
        <w:t xml:space="preserve"> onslaught</w:t>
      </w:r>
      <w:r w:rsidR="00D5575F">
        <w:t>.</w:t>
      </w:r>
      <w:r w:rsidR="00D5575F">
        <w:rPr>
          <w:rStyle w:val="FootnoteReference"/>
        </w:rPr>
        <w:footnoteReference w:id="1"/>
      </w:r>
      <w:r>
        <w:t xml:space="preserve">  </w:t>
      </w:r>
      <w:r w:rsidR="00965687">
        <w:t>This division lent itself to other consi</w:t>
      </w:r>
      <w:r w:rsidR="00DC5225">
        <w:t>derations, as</w:t>
      </w:r>
      <w:r w:rsidR="00965687">
        <w:t xml:space="preserve"> Americans outside Dayton saw this trial as a struggle between the “urban and Progressive North [versus] the rural and traditional South.”</w:t>
      </w:r>
      <w:r w:rsidR="00D5575F">
        <w:rPr>
          <w:rStyle w:val="FootnoteReference"/>
        </w:rPr>
        <w:footnoteReference w:id="2"/>
      </w:r>
      <w:r w:rsidR="0089506C">
        <w:t xml:space="preserve">  Just because the Civil War ended decades prior did not mean it was truly over.</w:t>
      </w:r>
    </w:p>
    <w:p w:rsidR="0081480E" w:rsidRDefault="00965687" w:rsidP="00B05831">
      <w:pPr>
        <w:ind w:firstLine="720"/>
      </w:pPr>
      <w:r>
        <w:t>Inte</w:t>
      </w:r>
      <w:r w:rsidR="00554A2C">
        <w:t>r</w:t>
      </w:r>
      <w:r w:rsidR="0089506C">
        <w:t>preting the Scopes</w:t>
      </w:r>
      <w:r w:rsidR="00554A2C">
        <w:t xml:space="preserve"> trial in</w:t>
      </w:r>
      <w:r>
        <w:t xml:space="preserve"> terms </w:t>
      </w:r>
      <w:r w:rsidR="00554A2C">
        <w:t xml:space="preserve">of </w:t>
      </w:r>
      <w:r w:rsidR="00C5026A">
        <w:t>19</w:t>
      </w:r>
      <w:r w:rsidR="00C5026A" w:rsidRPr="00C5026A">
        <w:rPr>
          <w:vertAlign w:val="superscript"/>
        </w:rPr>
        <w:t>th</w:t>
      </w:r>
      <w:r w:rsidR="00C5026A">
        <w:t xml:space="preserve"> century ideological</w:t>
      </w:r>
      <w:r w:rsidR="00531DBE">
        <w:t>, political,</w:t>
      </w:r>
      <w:r w:rsidR="00C5026A">
        <w:t xml:space="preserve"> and </w:t>
      </w:r>
      <w:r w:rsidR="00554A2C">
        <w:t xml:space="preserve">social division </w:t>
      </w:r>
      <w:r w:rsidR="0089506C">
        <w:t>is appropriate</w:t>
      </w:r>
      <w:r>
        <w:t xml:space="preserve"> for much deeper reasons, though.  The </w:t>
      </w:r>
      <w:r w:rsidR="00DC5225">
        <w:t xml:space="preserve">postbellum </w:t>
      </w:r>
      <w:r>
        <w:t>expansion of Americans</w:t>
      </w:r>
      <w:r w:rsidR="00DC5225">
        <w:t xml:space="preserve"> across the continent </w:t>
      </w:r>
      <w:r>
        <w:t xml:space="preserve">along with the rise of industry </w:t>
      </w:r>
      <w:r w:rsidR="00B05831">
        <w:t xml:space="preserve">created shifts in social </w:t>
      </w:r>
      <w:r>
        <w:t>class</w:t>
      </w:r>
      <w:r w:rsidR="002817BB">
        <w:t>es</w:t>
      </w:r>
      <w:r w:rsidR="00A27DE2">
        <w:t xml:space="preserve"> that prompted new intellectual</w:t>
      </w:r>
      <w:r w:rsidR="00B05831">
        <w:t>, scientific</w:t>
      </w:r>
      <w:r w:rsidR="00A27DE2">
        <w:t xml:space="preserve"> activity</w:t>
      </w:r>
      <w:r w:rsidR="00B05831">
        <w:t>.</w:t>
      </w:r>
      <w:r w:rsidR="00D5575F">
        <w:rPr>
          <w:rStyle w:val="FootnoteReference"/>
        </w:rPr>
        <w:footnoteReference w:id="3"/>
      </w:r>
      <w:r w:rsidR="00B05831">
        <w:t xml:space="preserve"> </w:t>
      </w:r>
      <w:r>
        <w:t xml:space="preserve">  </w:t>
      </w:r>
      <w:r w:rsidR="002817BB">
        <w:t>Trends</w:t>
      </w:r>
      <w:r>
        <w:t xml:space="preserve"> </w:t>
      </w:r>
      <w:r w:rsidR="00A27DE2">
        <w:t>toward laissez-faire economics, where “free markets [were] a moral force and economic ideal,”</w:t>
      </w:r>
      <w:r w:rsidR="00D5575F">
        <w:rPr>
          <w:rStyle w:val="FootnoteReference"/>
        </w:rPr>
        <w:footnoteReference w:id="4"/>
      </w:r>
      <w:r w:rsidR="00A27DE2">
        <w:t xml:space="preserve"> </w:t>
      </w:r>
      <w:r>
        <w:t>favored the Rock</w:t>
      </w:r>
      <w:r w:rsidR="00B05831">
        <w:t>efellers</w:t>
      </w:r>
      <w:r>
        <w:t xml:space="preserve"> of the day at the expense of the poor, agricultural, and recent immigrant classes.</w:t>
      </w:r>
      <w:r w:rsidR="00D5575F">
        <w:rPr>
          <w:rStyle w:val="FootnoteReference"/>
        </w:rPr>
        <w:footnoteReference w:id="5"/>
      </w:r>
      <w:r>
        <w:t xml:space="preserve">  </w:t>
      </w:r>
      <w:r w:rsidR="002817BB">
        <w:t>To justify these trends, industrialists and intellectuals referred to the works of Charles Darwin, Immanuel Kant, and Herbert Spencer, th</w:t>
      </w:r>
      <w:r w:rsidR="00DC5225">
        <w:t>e last of whom popularized</w:t>
      </w:r>
      <w:r w:rsidR="002817BB">
        <w:t xml:space="preserve"> Social Darwinism, wherein the </w:t>
      </w:r>
      <w:r w:rsidR="00A27DE2">
        <w:t>Darwinian principle</w:t>
      </w:r>
      <w:r w:rsidR="002817BB">
        <w:t xml:space="preserve"> of survival of the fittest </w:t>
      </w:r>
      <w:r w:rsidR="00C5026A">
        <w:t>wa</w:t>
      </w:r>
      <w:r w:rsidR="002817BB">
        <w:t xml:space="preserve">s misapplied to </w:t>
      </w:r>
      <w:r w:rsidR="00020F88">
        <w:t>explain and justify why</w:t>
      </w:r>
      <w:r w:rsidR="002817BB">
        <w:t xml:space="preserve"> white, wealthy</w:t>
      </w:r>
      <w:r w:rsidR="00C5026A">
        <w:t xml:space="preserve"> industrialists we</w:t>
      </w:r>
      <w:r w:rsidR="002817BB">
        <w:t>re more successful than lower classes.</w:t>
      </w:r>
      <w:r w:rsidR="00D5575F">
        <w:rPr>
          <w:rStyle w:val="FootnoteReference"/>
        </w:rPr>
        <w:footnoteReference w:id="6"/>
      </w:r>
      <w:r w:rsidR="00B05831">
        <w:t xml:space="preserve">  </w:t>
      </w:r>
      <w:r w:rsidR="0081480E">
        <w:t>Science permeated more than economics and class ideology</w:t>
      </w:r>
      <w:r w:rsidR="008102D6">
        <w:t xml:space="preserve">, </w:t>
      </w:r>
      <w:r w:rsidR="00B05831">
        <w:t xml:space="preserve">though, </w:t>
      </w:r>
      <w:r w:rsidR="008102D6">
        <w:t>exacerb</w:t>
      </w:r>
      <w:r w:rsidR="007063CA">
        <w:t xml:space="preserve">ating tensions between modernists and </w:t>
      </w:r>
      <w:r w:rsidR="00B05831">
        <w:t xml:space="preserve">religious </w:t>
      </w:r>
      <w:r w:rsidR="007063CA">
        <w:t>fundamentalists</w:t>
      </w:r>
      <w:r w:rsidR="0081480E">
        <w:t xml:space="preserve">.  </w:t>
      </w:r>
      <w:r w:rsidR="0089506C">
        <w:t>Friedrich Nietzsche, Sigmund Freud, and Albert Einstein</w:t>
      </w:r>
      <w:r w:rsidR="007063CA">
        <w:t xml:space="preserve"> variously</w:t>
      </w:r>
      <w:r w:rsidR="00C5026A">
        <w:t xml:space="preserve"> </w:t>
      </w:r>
      <w:r w:rsidR="0089506C">
        <w:lastRenderedPageBreak/>
        <w:t>challenged the role of religion in dictating morality and man’s plac</w:t>
      </w:r>
      <w:r w:rsidR="00D5575F">
        <w:t>e in the universe.</w:t>
      </w:r>
      <w:r w:rsidR="00D5575F">
        <w:rPr>
          <w:rStyle w:val="FootnoteReference"/>
        </w:rPr>
        <w:footnoteReference w:id="7"/>
      </w:r>
      <w:r w:rsidR="0089506C">
        <w:t xml:space="preserve">  These ideas</w:t>
      </w:r>
      <w:r w:rsidR="0081480E">
        <w:t xml:space="preserve"> were taught in</w:t>
      </w:r>
      <w:r w:rsidR="0089506C">
        <w:t xml:space="preserve"> </w:t>
      </w:r>
      <w:r w:rsidR="0081480E">
        <w:t xml:space="preserve">university and </w:t>
      </w:r>
      <w:r w:rsidR="0089506C">
        <w:t>high school level texts</w:t>
      </w:r>
      <w:r w:rsidR="00C5026A">
        <w:t xml:space="preserve">, </w:t>
      </w:r>
      <w:r w:rsidR="0081480E">
        <w:t>including</w:t>
      </w:r>
      <w:r w:rsidR="008102D6">
        <w:t xml:space="preserve"> </w:t>
      </w:r>
      <w:proofErr w:type="spellStart"/>
      <w:r w:rsidR="008102D6">
        <w:t>Scopes’s</w:t>
      </w:r>
      <w:proofErr w:type="spellEnd"/>
      <w:r w:rsidR="0081480E">
        <w:t xml:space="preserve"> </w:t>
      </w:r>
      <w:r w:rsidR="0081480E">
        <w:rPr>
          <w:i/>
        </w:rPr>
        <w:t xml:space="preserve">Civic </w:t>
      </w:r>
      <w:r w:rsidR="0081480E" w:rsidRPr="0081480E">
        <w:rPr>
          <w:i/>
        </w:rPr>
        <w:t>Biology</w:t>
      </w:r>
      <w:r w:rsidR="0081480E">
        <w:t>, helping create</w:t>
      </w:r>
      <w:r w:rsidR="00020F88">
        <w:t xml:space="preserve"> a generation of young</w:t>
      </w:r>
      <w:r w:rsidR="0081480E">
        <w:t xml:space="preserve"> scientists </w:t>
      </w:r>
      <w:r w:rsidR="00C5026A">
        <w:t>who were less likely to be religious</w:t>
      </w:r>
      <w:r w:rsidR="008102D6">
        <w:t>.</w:t>
      </w:r>
      <w:r w:rsidR="00D5575F">
        <w:rPr>
          <w:rStyle w:val="FootnoteReference"/>
        </w:rPr>
        <w:footnoteReference w:id="8"/>
      </w:r>
      <w:r w:rsidR="008102D6">
        <w:t xml:space="preserve"> </w:t>
      </w:r>
      <w:r w:rsidR="00020F88">
        <w:t xml:space="preserve">Science </w:t>
      </w:r>
      <w:r w:rsidR="0081480E">
        <w:t>even affected</w:t>
      </w:r>
      <w:r w:rsidR="00020F88">
        <w:t xml:space="preserve"> the legal system.  The judicial branch strove to “make law a science”</w:t>
      </w:r>
      <w:r w:rsidR="00DC5225">
        <w:t xml:space="preserve"> through legal formalism,</w:t>
      </w:r>
      <w:r w:rsidR="00D5575F">
        <w:rPr>
          <w:rStyle w:val="FootnoteReference"/>
        </w:rPr>
        <w:footnoteReference w:id="9"/>
      </w:r>
      <w:r w:rsidR="00020F88">
        <w:t xml:space="preserve"> and courts increasingly relied on laissez-faire principles</w:t>
      </w:r>
      <w:r w:rsidR="00845735">
        <w:t xml:space="preserve"> backed by pseudoscientific principles</w:t>
      </w:r>
      <w:r w:rsidR="00020F88">
        <w:t xml:space="preserve"> to adjudicate disputes between employers and employees, as with </w:t>
      </w:r>
      <w:proofErr w:type="spellStart"/>
      <w:r w:rsidR="00020F88">
        <w:rPr>
          <w:i/>
        </w:rPr>
        <w:t>Lochner</w:t>
      </w:r>
      <w:proofErr w:type="spellEnd"/>
      <w:r w:rsidR="00020F88">
        <w:rPr>
          <w:i/>
        </w:rPr>
        <w:t xml:space="preserve"> v. New York</w:t>
      </w:r>
      <w:r w:rsidR="00D5575F">
        <w:t>. This directly fed into Bryan’s desire to be involved in the Scopes case</w:t>
      </w:r>
      <w:r w:rsidR="00193EF5">
        <w:t>, as Social Darwinism’s preference for limited government action directly countered Bryan’s concept of the role of government.</w:t>
      </w:r>
      <w:r w:rsidR="00193EF5">
        <w:rPr>
          <w:rStyle w:val="FootnoteReference"/>
        </w:rPr>
        <w:footnoteReference w:id="10"/>
      </w:r>
    </w:p>
    <w:p w:rsidR="0089506C" w:rsidRDefault="008102D6" w:rsidP="00A27DE2">
      <w:pPr>
        <w:ind w:firstLine="720"/>
      </w:pPr>
      <w:r>
        <w:t>This</w:t>
      </w:r>
      <w:r w:rsidR="0089506C">
        <w:t xml:space="preserve"> unholy alliance </w:t>
      </w:r>
      <w:r w:rsidR="00531DBE">
        <w:t>of</w:t>
      </w:r>
      <w:r w:rsidR="0081480E">
        <w:t xml:space="preserve"> capitalism, </w:t>
      </w:r>
      <w:r w:rsidR="0089506C">
        <w:t>science</w:t>
      </w:r>
      <w:r w:rsidR="00020F88">
        <w:t>, education, and law</w:t>
      </w:r>
      <w:r w:rsidR="0089506C">
        <w:t xml:space="preserve"> bred opposition in the form of populism and progressivism, </w:t>
      </w:r>
      <w:r w:rsidR="002D3F39">
        <w:t xml:space="preserve">most </w:t>
      </w:r>
      <w:r w:rsidR="0089506C">
        <w:t>notably</w:t>
      </w:r>
      <w:r>
        <w:t xml:space="preserve"> </w:t>
      </w:r>
      <w:r w:rsidR="0089506C">
        <w:t>in th</w:t>
      </w:r>
      <w:r w:rsidR="002D3F39">
        <w:t>e form of the Great Commoner</w:t>
      </w:r>
      <w:r w:rsidR="0089506C">
        <w:t>.</w:t>
      </w:r>
      <w:r w:rsidR="002D3F39">
        <w:t xml:space="preserve">  </w:t>
      </w:r>
      <w:r w:rsidR="00D81359">
        <w:t xml:space="preserve">Although </w:t>
      </w:r>
      <w:r>
        <w:t xml:space="preserve">three-time Presidential candidate </w:t>
      </w:r>
      <w:r w:rsidR="00845735">
        <w:t xml:space="preserve">William Jennings </w:t>
      </w:r>
      <w:r w:rsidR="00D81359">
        <w:t xml:space="preserve">Bryan personally did not support laws such as the Butler Act, his populist tendencies led him to </w:t>
      </w:r>
      <w:r w:rsidR="007063CA">
        <w:t>assist Tennesseans who did support it</w:t>
      </w:r>
      <w:r w:rsidR="00BD018C">
        <w:t xml:space="preserve">. </w:t>
      </w:r>
      <w:r w:rsidR="00DC5225">
        <w:t xml:space="preserve"> </w:t>
      </w:r>
      <w:r w:rsidR="00AD250B">
        <w:t>They</w:t>
      </w:r>
      <w:r w:rsidR="00DC5225">
        <w:t xml:space="preserve"> shared</w:t>
      </w:r>
      <w:r>
        <w:t xml:space="preserve"> Bryan’s concerns</w:t>
      </w:r>
      <w:r w:rsidR="00BD018C">
        <w:t xml:space="preserve"> about the </w:t>
      </w:r>
      <w:r w:rsidR="00DC5225">
        <w:t>dangers of Darwinism</w:t>
      </w:r>
      <w:r w:rsidR="00EF7639">
        <w:rPr>
          <w:rStyle w:val="FootnoteReference"/>
        </w:rPr>
        <w:footnoteReference w:id="11"/>
      </w:r>
      <w:r w:rsidR="009161BF">
        <w:t xml:space="preserve"> and modern industrial society</w:t>
      </w:r>
      <w:r w:rsidR="00DC5225">
        <w:t>, leading</w:t>
      </w:r>
      <w:r>
        <w:t xml:space="preserve"> to the </w:t>
      </w:r>
      <w:r w:rsidR="005E0881">
        <w:t xml:space="preserve">Act’s </w:t>
      </w:r>
      <w:r w:rsidR="00DC5225">
        <w:t xml:space="preserve">initial </w:t>
      </w:r>
      <w:r>
        <w:t>passa</w:t>
      </w:r>
      <w:r w:rsidR="005E0881">
        <w:t>ge</w:t>
      </w:r>
      <w:r w:rsidR="00D5575F">
        <w:t>.</w:t>
      </w:r>
      <w:r w:rsidR="00D5575F">
        <w:rPr>
          <w:rStyle w:val="FootnoteReference"/>
        </w:rPr>
        <w:footnoteReference w:id="12"/>
      </w:r>
      <w:r w:rsidR="00D81359">
        <w:t xml:space="preserve">  </w:t>
      </w:r>
      <w:r w:rsidR="00BD018C">
        <w:t>Bryan</w:t>
      </w:r>
      <w:r w:rsidR="00845735">
        <w:t xml:space="preserve"> and the rest of America had seen the </w:t>
      </w:r>
      <w:r w:rsidR="00BD018C">
        <w:t>horrors of World War One, and Bryan</w:t>
      </w:r>
      <w:r w:rsidR="00845735">
        <w:t xml:space="preserve"> blamed German scientism as much as horrifically novel military technologies for the war and its incredible casualty rate.</w:t>
      </w:r>
      <w:r w:rsidR="00EF7639">
        <w:rPr>
          <w:rStyle w:val="FootnoteReference"/>
        </w:rPr>
        <w:footnoteReference w:id="13"/>
      </w:r>
      <w:r w:rsidR="00845735">
        <w:t xml:space="preserve">  Additionally, </w:t>
      </w:r>
      <w:r w:rsidR="00DC5225">
        <w:t xml:space="preserve">as a </w:t>
      </w:r>
      <w:r w:rsidR="000A75A5">
        <w:t>supporter of labor</w:t>
      </w:r>
      <w:r w:rsidR="00845735">
        <w:t xml:space="preserve">, Bryan denied the theories that justified industrialism and </w:t>
      </w:r>
      <w:r w:rsidR="00EF7639">
        <w:t xml:space="preserve">subsequent </w:t>
      </w:r>
      <w:r w:rsidR="00845735">
        <w:t>class division</w:t>
      </w:r>
      <w:r w:rsidR="00EF7639">
        <w:rPr>
          <w:rStyle w:val="FootnoteReference"/>
        </w:rPr>
        <w:footnoteReference w:id="14"/>
      </w:r>
      <w:r w:rsidR="000A75A5">
        <w:t xml:space="preserve"> or that u</w:t>
      </w:r>
      <w:r w:rsidR="00EF7639">
        <w:t>nderpinned World War I.</w:t>
      </w:r>
      <w:r w:rsidR="00EF7639">
        <w:rPr>
          <w:rStyle w:val="FootnoteReference"/>
        </w:rPr>
        <w:footnoteReference w:id="15"/>
      </w:r>
      <w:r>
        <w:t xml:space="preserve">  Bryan embodied the branch of Protestant Fundamentalism that decided not to accept “Darwin’s” theory of evolution because of its multifaceted, detrimental </w:t>
      </w:r>
      <w:r>
        <w:lastRenderedPageBreak/>
        <w:t>impact on society,</w:t>
      </w:r>
      <w:r w:rsidR="00EF7639">
        <w:rPr>
          <w:rStyle w:val="FootnoteReference"/>
        </w:rPr>
        <w:footnoteReference w:id="16"/>
      </w:r>
      <w:r>
        <w:t xml:space="preserve"> and this led to his involvement in the Scopes case</w:t>
      </w:r>
      <w:r w:rsidR="00E62B88">
        <w:t>, even if his take on fundamentalism differed slightly from the norm when Darrow interrogated him</w:t>
      </w:r>
      <w:r w:rsidR="00D5575F">
        <w:t>.</w:t>
      </w:r>
      <w:r w:rsidR="00D5575F">
        <w:rPr>
          <w:rStyle w:val="FootnoteReference"/>
        </w:rPr>
        <w:footnoteReference w:id="17"/>
      </w:r>
    </w:p>
    <w:p w:rsidR="00E62B88" w:rsidRDefault="008102D6" w:rsidP="00E62B88">
      <w:pPr>
        <w:ind w:firstLine="720"/>
      </w:pPr>
      <w:r>
        <w:t xml:space="preserve">If Bryan represented the past, Clarence Darrow was the </w:t>
      </w:r>
      <w:r w:rsidR="00BD018C">
        <w:t>future</w:t>
      </w:r>
      <w:r>
        <w:t xml:space="preserve">.  </w:t>
      </w:r>
      <w:r w:rsidR="00AD250B">
        <w:t>A f</w:t>
      </w:r>
      <w:r>
        <w:t xml:space="preserve">amed defense attorney and celebrated atheist, </w:t>
      </w:r>
      <w:r w:rsidR="00AD250B">
        <w:t>he</w:t>
      </w:r>
      <w:r>
        <w:t xml:space="preserve"> fully came from the world of the 1920s.  Americans during the interwar period were celebrating the Jazz Age</w:t>
      </w:r>
      <w:r w:rsidR="00707B7A">
        <w:t xml:space="preserve"> and abstract art</w:t>
      </w:r>
      <w:r w:rsidR="00AD250B">
        <w:t>, skirting P</w:t>
      </w:r>
      <w:r>
        <w:t>rohibition, enjoying cars and electricity, and engaging in everyday intellectualism</w:t>
      </w:r>
      <w:r w:rsidR="00C57D1E">
        <w:t xml:space="preserve">, including liberal Protestantism </w:t>
      </w:r>
      <w:r w:rsidR="009161BF">
        <w:t>that recognized</w:t>
      </w:r>
      <w:r w:rsidR="00C57D1E">
        <w:t xml:space="preserve"> evolution or </w:t>
      </w:r>
      <w:r w:rsidR="004E3E19">
        <w:t xml:space="preserve">even </w:t>
      </w:r>
      <w:r w:rsidR="00C57D1E">
        <w:t>outright agnosticism or atheism</w:t>
      </w:r>
      <w:r w:rsidR="00EF7639">
        <w:t>.</w:t>
      </w:r>
      <w:r w:rsidR="00EF7639">
        <w:rPr>
          <w:rStyle w:val="FootnoteReference"/>
        </w:rPr>
        <w:footnoteReference w:id="18"/>
      </w:r>
      <w:r>
        <w:t xml:space="preserve">  </w:t>
      </w:r>
      <w:r w:rsidR="00097EA2">
        <w:t>M</w:t>
      </w:r>
      <w:r>
        <w:t>ore inclined to view the people of Dayton as “backwards”</w:t>
      </w:r>
      <w:r w:rsidR="00E62B88">
        <w:t xml:space="preserve"> for their lack of modern material culture and tendencies toward religious fundamentalism,</w:t>
      </w:r>
      <w:r>
        <w:t xml:space="preserve"> urban Americans</w:t>
      </w:r>
      <w:r w:rsidR="00097EA2">
        <w:t xml:space="preserve"> rapturously</w:t>
      </w:r>
      <w:r>
        <w:t xml:space="preserve"> followe</w:t>
      </w:r>
      <w:r w:rsidR="00E62B88">
        <w:t>d the trial via radio.  This was the first time they could enjoy such a technological luxury</w:t>
      </w:r>
      <w:r w:rsidR="00BD018C">
        <w:t xml:space="preserve">, and the media </w:t>
      </w:r>
      <w:r w:rsidR="00097EA2">
        <w:t>exploited</w:t>
      </w:r>
      <w:r w:rsidR="00BD018C">
        <w:t xml:space="preserve"> this to create the circus atmosphere of this trial, exacerbating social tensions.</w:t>
      </w:r>
      <w:r w:rsidR="00D5575F">
        <w:rPr>
          <w:rStyle w:val="FootnoteReference"/>
        </w:rPr>
        <w:footnoteReference w:id="19"/>
      </w:r>
    </w:p>
    <w:p w:rsidR="002D3F39" w:rsidRDefault="0081480E" w:rsidP="00E62B88">
      <w:pPr>
        <w:ind w:firstLine="720"/>
      </w:pPr>
      <w:r>
        <w:t>The historical context that led to the Butler Act and the decision to bring Scopes to trial also created the superstars who argued it</w:t>
      </w:r>
      <w:r w:rsidR="008102D6">
        <w:t>, and Bryan and Darrow embodied the tensions of the time—science versus fundamentalism, modernity versus t</w:t>
      </w:r>
      <w:r w:rsidR="00E62B88">
        <w:t>radition</w:t>
      </w:r>
      <w:r w:rsidR="008102D6">
        <w:t>.</w:t>
      </w:r>
      <w:r w:rsidR="00E62B88">
        <w:t xml:space="preserve">  Ultimately, past and future were on trial in Dayton more than Scopes himself, and the case wouldn’t be settled for decades to come.</w:t>
      </w:r>
    </w:p>
    <w:p w:rsidR="00965687" w:rsidRDefault="00965687" w:rsidP="00617104"/>
    <w:p w:rsidR="00965687" w:rsidRDefault="00965687" w:rsidP="00617104"/>
    <w:p w:rsidR="00E62B88" w:rsidRDefault="00E62B88"/>
    <w:sectPr w:rsidR="00E6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8D" w:rsidRDefault="007C678D" w:rsidP="00D5575F">
      <w:r>
        <w:separator/>
      </w:r>
    </w:p>
  </w:endnote>
  <w:endnote w:type="continuationSeparator" w:id="0">
    <w:p w:rsidR="007C678D" w:rsidRDefault="007C678D" w:rsidP="00D5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8D" w:rsidRDefault="007C678D" w:rsidP="00D5575F">
      <w:r>
        <w:separator/>
      </w:r>
    </w:p>
  </w:footnote>
  <w:footnote w:type="continuationSeparator" w:id="0">
    <w:p w:rsidR="007C678D" w:rsidRDefault="007C678D" w:rsidP="00D5575F">
      <w:r>
        <w:continuationSeparator/>
      </w:r>
    </w:p>
  </w:footnote>
  <w:footnote w:id="1">
    <w:p w:rsidR="00D5575F" w:rsidRPr="00B23F21" w:rsidRDefault="00D5575F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proofErr w:type="spellStart"/>
      <w:r w:rsidRPr="00B23F21">
        <w:rPr>
          <w:sz w:val="20"/>
          <w:szCs w:val="20"/>
        </w:rPr>
        <w:t>ChristopherHitchslap</w:t>
      </w:r>
      <w:proofErr w:type="spellEnd"/>
      <w:r w:rsidRPr="00B23F21">
        <w:rPr>
          <w:sz w:val="20"/>
          <w:szCs w:val="20"/>
        </w:rPr>
        <w:t xml:space="preserve">, “Scopes Monkey Trial FULL,” </w:t>
      </w:r>
      <w:r w:rsidRPr="00B23F21">
        <w:rPr>
          <w:i/>
          <w:sz w:val="20"/>
          <w:szCs w:val="20"/>
        </w:rPr>
        <w:t>YouTube</w:t>
      </w:r>
      <w:r w:rsidRPr="00B23F21">
        <w:rPr>
          <w:sz w:val="20"/>
          <w:szCs w:val="20"/>
        </w:rPr>
        <w:t>, 20 October 2011, https://www.youtube.com/watch?v=IVD4TjxnJ0M.</w:t>
      </w:r>
    </w:p>
  </w:footnote>
  <w:footnote w:id="2">
    <w:p w:rsidR="00D5575F" w:rsidRPr="00B23F21" w:rsidRDefault="00D5575F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Ernest Nickels, “The Scopes ‘Monkey Trial’: A Debate about Evolution,” in </w:t>
      </w:r>
      <w:r w:rsidRPr="00B23F21">
        <w:rPr>
          <w:i/>
          <w:sz w:val="20"/>
          <w:szCs w:val="20"/>
        </w:rPr>
        <w:t>Famous American Crimes and Trials: 1913-1959</w:t>
      </w:r>
      <w:r w:rsidRPr="00B23F21">
        <w:rPr>
          <w:sz w:val="20"/>
          <w:szCs w:val="20"/>
        </w:rPr>
        <w:t xml:space="preserve">, ed. Frankie Y. Bailey (Westport, CT: </w:t>
      </w:r>
      <w:proofErr w:type="spellStart"/>
      <w:r w:rsidRPr="00B23F21">
        <w:rPr>
          <w:sz w:val="20"/>
          <w:szCs w:val="20"/>
        </w:rPr>
        <w:t>Pra</w:t>
      </w:r>
      <w:bookmarkStart w:id="0" w:name="_GoBack"/>
      <w:bookmarkEnd w:id="0"/>
      <w:r w:rsidRPr="00B23F21">
        <w:rPr>
          <w:sz w:val="20"/>
          <w:szCs w:val="20"/>
        </w:rPr>
        <w:t>eger</w:t>
      </w:r>
      <w:proofErr w:type="spellEnd"/>
      <w:r w:rsidRPr="00B23F21">
        <w:rPr>
          <w:sz w:val="20"/>
          <w:szCs w:val="20"/>
        </w:rPr>
        <w:t>, 2004), 104.</w:t>
      </w:r>
    </w:p>
  </w:footnote>
  <w:footnote w:id="3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 xml:space="preserve">Kevin Lee, “Inherit the Myth: How William Jennings Bryan’s Struggle with Social Darwinism and Legal Formalism Demythologize the Scopes Monkey Trial,” </w:t>
      </w:r>
      <w:r w:rsidRPr="00B23F21">
        <w:rPr>
          <w:rFonts w:ascii="inherit" w:eastAsia="Times New Roman" w:hAnsi="inherit" w:cs="Helvetica"/>
          <w:i/>
          <w:iCs/>
          <w:color w:val="000000"/>
          <w:sz w:val="20"/>
          <w:szCs w:val="20"/>
        </w:rPr>
        <w:t xml:space="preserve">Campbell University School of Law Review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33, no. 347 (2004): 350-351.</w:t>
      </w:r>
    </w:p>
  </w:footnote>
  <w:footnote w:id="4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proofErr w:type="gramStart"/>
      <w:r w:rsidR="00AD00E9"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Ibid.,</w:t>
      </w:r>
      <w:proofErr w:type="gramEnd"/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 xml:space="preserve"> 350.</w:t>
      </w:r>
    </w:p>
  </w:footnote>
  <w:footnote w:id="5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proofErr w:type="gramStart"/>
      <w:r w:rsidR="00AD00E9"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Ibid.,</w:t>
      </w:r>
      <w:proofErr w:type="gramEnd"/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 xml:space="preserve"> 356-357.</w:t>
      </w:r>
    </w:p>
  </w:footnote>
  <w:footnote w:id="6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proofErr w:type="gramStart"/>
      <w:r w:rsidR="00AD00E9"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Ibid.,</w:t>
      </w:r>
      <w:proofErr w:type="gramEnd"/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 xml:space="preserve"> 349-352.</w:t>
      </w:r>
    </w:p>
  </w:footnote>
  <w:footnote w:id="7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 xml:space="preserve">Lloyd </w:t>
      </w:r>
      <w:proofErr w:type="spellStart"/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>Chiasson</w:t>
      </w:r>
      <w:proofErr w:type="spellEnd"/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>, Jr., “The Case of John Scopes,” in </w:t>
      </w:r>
      <w:proofErr w:type="gramStart"/>
      <w:r w:rsidRPr="00B23F21">
        <w:rPr>
          <w:rFonts w:ascii="inherit" w:eastAsia="Times New Roman" w:hAnsi="inherit" w:cs="Helvetica"/>
          <w:i/>
          <w:iCs/>
          <w:color w:val="000000"/>
          <w:sz w:val="20"/>
          <w:szCs w:val="20"/>
        </w:rPr>
        <w:t>The</w:t>
      </w:r>
      <w:proofErr w:type="gramEnd"/>
      <w:r w:rsidRPr="00B23F21">
        <w:rPr>
          <w:rFonts w:ascii="inherit" w:eastAsia="Times New Roman" w:hAnsi="inherit" w:cs="Helvetica"/>
          <w:i/>
          <w:iCs/>
          <w:color w:val="000000"/>
          <w:sz w:val="20"/>
          <w:szCs w:val="20"/>
        </w:rPr>
        <w:t xml:space="preserve"> Press on Trial: Crimes and Trials as Media Events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(Westport, CT: Greenwood Press, 1997), 87.</w:t>
      </w:r>
    </w:p>
  </w:footnote>
  <w:footnote w:id="8">
    <w:p w:rsidR="00D5575F" w:rsidRPr="00B23F21" w:rsidRDefault="00D5575F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Ernest Nickels, “The Scopes ‘Monkey Trial’: A Debate about Evolution,” 88-89.</w:t>
      </w:r>
    </w:p>
  </w:footnote>
  <w:footnote w:id="9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Kevin Lee, “Inherit the Myth: How William Jennings Bryan’s Struggle with Social Darwinism and Legal Formalism Demythologize the Scopes Monkey Trial,” 358.</w:t>
      </w:r>
    </w:p>
  </w:footnote>
  <w:footnote w:id="10">
    <w:p w:rsidR="00193EF5" w:rsidRPr="00B23F21" w:rsidRDefault="00193EF5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proofErr w:type="gramStart"/>
      <w:r w:rsidR="00AD00E9"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Ibid.,</w:t>
      </w:r>
      <w:proofErr w:type="gramEnd"/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 xml:space="preserve"> 360.</w:t>
      </w:r>
    </w:p>
  </w:footnote>
  <w:footnote w:id="11">
    <w:p w:rsidR="00EF7639" w:rsidRPr="00B23F21" w:rsidRDefault="00EF7639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Douglas O. Linder, “State vs. John Scopes (“The Monkey Trial”): An Account,” </w:t>
      </w:r>
      <w:r w:rsidRPr="00B23F21">
        <w:rPr>
          <w:i/>
          <w:sz w:val="20"/>
          <w:szCs w:val="20"/>
        </w:rPr>
        <w:t>UMKC School of Law</w:t>
      </w:r>
      <w:r w:rsidRPr="00B23F21">
        <w:rPr>
          <w:sz w:val="20"/>
          <w:szCs w:val="20"/>
        </w:rPr>
        <w:t xml:space="preserve">, accessed 20 September 2017, http://www.famous-trials.com/scopesmonkey/2127-home. </w:t>
      </w:r>
    </w:p>
  </w:footnote>
  <w:footnote w:id="12">
    <w:p w:rsidR="00D5575F" w:rsidRPr="00B23F21" w:rsidRDefault="00D5575F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Jack Ford, “Famous Trials in American History, Lecture for week 5” (lecture, 2017).</w:t>
      </w:r>
    </w:p>
  </w:footnote>
  <w:footnote w:id="13">
    <w:p w:rsidR="00EF7639" w:rsidRPr="00B23F21" w:rsidRDefault="00EF7639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Kevin Lee, “Inherit the Myth: How William Jennings Bryan’s Struggle with Social Darwinism and Legal Formalism Demythologize the Scopes Monkey Trial,” 367-369.</w:t>
      </w:r>
    </w:p>
  </w:footnote>
  <w:footnote w:id="14">
    <w:p w:rsidR="00EF7639" w:rsidRPr="00B23F21" w:rsidRDefault="00EF7639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 xml:space="preserve">Lloyd </w:t>
      </w:r>
      <w:proofErr w:type="spellStart"/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>Chiasson</w:t>
      </w:r>
      <w:proofErr w:type="spellEnd"/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 xml:space="preserve">, Jr., “The Case of John Scopes,”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91-92.</w:t>
      </w:r>
    </w:p>
  </w:footnote>
  <w:footnote w:id="15">
    <w:p w:rsidR="00EF7639" w:rsidRPr="00B23F21" w:rsidRDefault="00EF7639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Kevin Lee, “Inherit the Myth: How William Jennings Bryan’s Struggle with Social Darwinism and Legal Formalism Demythologize the Scopes Monkey Trial,” 365.</w:t>
      </w:r>
    </w:p>
  </w:footnote>
  <w:footnote w:id="16">
    <w:p w:rsidR="00EF7639" w:rsidRPr="00B23F21" w:rsidRDefault="00EF7639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proofErr w:type="gramStart"/>
      <w:r w:rsidR="00AD00E9"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Ibid.,</w:t>
      </w:r>
      <w:proofErr w:type="gramEnd"/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 xml:space="preserve"> 364-365.</w:t>
      </w:r>
    </w:p>
  </w:footnote>
  <w:footnote w:id="17">
    <w:p w:rsidR="00D5575F" w:rsidRPr="00B23F21" w:rsidRDefault="00D5575F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Jack Ford, “Famous Trials in American History, Lecture for week 5.</w:t>
      </w:r>
      <w:r w:rsidR="00AD00E9" w:rsidRPr="00B23F21">
        <w:rPr>
          <w:sz w:val="20"/>
          <w:szCs w:val="20"/>
        </w:rPr>
        <w:t>”</w:t>
      </w:r>
    </w:p>
  </w:footnote>
  <w:footnote w:id="18">
    <w:p w:rsidR="00EF7639" w:rsidRPr="00B23F21" w:rsidRDefault="00EF7639" w:rsidP="00B23F21">
      <w:pPr>
        <w:spacing w:before="240"/>
        <w:rPr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Douglas O. Linder, “State vs. John Scopes (“The Monkey Trial”): An Account,” </w:t>
      </w:r>
      <w:r w:rsidRPr="00B23F21">
        <w:rPr>
          <w:i/>
          <w:sz w:val="20"/>
          <w:szCs w:val="20"/>
        </w:rPr>
        <w:t>UMKC School of Law</w:t>
      </w:r>
      <w:r w:rsidR="00AD00E9" w:rsidRPr="00B23F21">
        <w:rPr>
          <w:sz w:val="20"/>
          <w:szCs w:val="20"/>
        </w:rPr>
        <w:t>.</w:t>
      </w:r>
    </w:p>
  </w:footnote>
  <w:footnote w:id="19">
    <w:p w:rsidR="00D5575F" w:rsidRPr="00B23F21" w:rsidRDefault="00D5575F" w:rsidP="00B23F21">
      <w:pPr>
        <w:shd w:val="clear" w:color="auto" w:fill="FFFFFF"/>
        <w:spacing w:before="240"/>
        <w:rPr>
          <w:rFonts w:ascii="inherit" w:eastAsia="Times New Roman" w:hAnsi="inherit" w:cs="Helvetica"/>
          <w:iCs/>
          <w:color w:val="000000"/>
          <w:sz w:val="20"/>
          <w:szCs w:val="20"/>
        </w:rPr>
      </w:pPr>
      <w:r w:rsidRPr="00B23F21">
        <w:rPr>
          <w:rStyle w:val="FootnoteReference"/>
          <w:sz w:val="20"/>
          <w:szCs w:val="20"/>
        </w:rPr>
        <w:footnoteRef/>
      </w:r>
      <w:r w:rsidRPr="00B23F21">
        <w:rPr>
          <w:sz w:val="20"/>
          <w:szCs w:val="20"/>
        </w:rPr>
        <w:t xml:space="preserve"> </w:t>
      </w:r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 xml:space="preserve">Lloyd </w:t>
      </w:r>
      <w:proofErr w:type="spellStart"/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>Chiasson</w:t>
      </w:r>
      <w:proofErr w:type="spellEnd"/>
      <w:r w:rsidRPr="00B23F21">
        <w:rPr>
          <w:rFonts w:ascii="inherit" w:eastAsia="Times New Roman" w:hAnsi="inherit" w:cs="Helvetica"/>
          <w:color w:val="000000"/>
          <w:sz w:val="20"/>
          <w:szCs w:val="20"/>
        </w:rPr>
        <w:t xml:space="preserve">, Jr., “The Case of John Scopes,” </w:t>
      </w:r>
      <w:r w:rsidRPr="00B23F21">
        <w:rPr>
          <w:rFonts w:ascii="inherit" w:eastAsia="Times New Roman" w:hAnsi="inherit" w:cs="Helvetica"/>
          <w:iCs/>
          <w:color w:val="000000"/>
          <w:sz w:val="20"/>
          <w:szCs w:val="20"/>
        </w:rPr>
        <w:t>89.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F69CA"/>
    <w:multiLevelType w:val="hybridMultilevel"/>
    <w:tmpl w:val="09EC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5A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40BD"/>
    <w:rsid w:val="0001464A"/>
    <w:rsid w:val="000153EA"/>
    <w:rsid w:val="0001619B"/>
    <w:rsid w:val="0001652B"/>
    <w:rsid w:val="00016C35"/>
    <w:rsid w:val="00017149"/>
    <w:rsid w:val="0001715C"/>
    <w:rsid w:val="00020F88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FC3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97EA2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A5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C7F36"/>
    <w:rsid w:val="000D0252"/>
    <w:rsid w:val="000D0418"/>
    <w:rsid w:val="000D0C5D"/>
    <w:rsid w:val="000D1537"/>
    <w:rsid w:val="000D2221"/>
    <w:rsid w:val="000D24DA"/>
    <w:rsid w:val="000D328D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20E1D"/>
    <w:rsid w:val="00120F26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5F87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4A5A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CEC"/>
    <w:rsid w:val="00180ED6"/>
    <w:rsid w:val="00181AD0"/>
    <w:rsid w:val="00182674"/>
    <w:rsid w:val="00182B8F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11F"/>
    <w:rsid w:val="00191F44"/>
    <w:rsid w:val="00191F54"/>
    <w:rsid w:val="0019209B"/>
    <w:rsid w:val="00193248"/>
    <w:rsid w:val="001935C4"/>
    <w:rsid w:val="00193613"/>
    <w:rsid w:val="00193CEE"/>
    <w:rsid w:val="00193EF5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3ECB"/>
    <w:rsid w:val="001A406A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0CED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929"/>
    <w:rsid w:val="00235D0B"/>
    <w:rsid w:val="00235FE6"/>
    <w:rsid w:val="002365B7"/>
    <w:rsid w:val="002370F9"/>
    <w:rsid w:val="0023711B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7BB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3BBC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3F39"/>
    <w:rsid w:val="002D5698"/>
    <w:rsid w:val="002D5E66"/>
    <w:rsid w:val="002D70EE"/>
    <w:rsid w:val="002D7870"/>
    <w:rsid w:val="002E04E5"/>
    <w:rsid w:val="002E0763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214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70F1"/>
    <w:rsid w:val="003478B4"/>
    <w:rsid w:val="00350720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6035A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F26"/>
    <w:rsid w:val="0037037D"/>
    <w:rsid w:val="00370713"/>
    <w:rsid w:val="003709B4"/>
    <w:rsid w:val="00372CC6"/>
    <w:rsid w:val="00373027"/>
    <w:rsid w:val="003730FC"/>
    <w:rsid w:val="00373483"/>
    <w:rsid w:val="003736F4"/>
    <w:rsid w:val="003749C0"/>
    <w:rsid w:val="003749CE"/>
    <w:rsid w:val="00374BC0"/>
    <w:rsid w:val="00374CEB"/>
    <w:rsid w:val="00374FE0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302C"/>
    <w:rsid w:val="004847F2"/>
    <w:rsid w:val="00485279"/>
    <w:rsid w:val="00485B2B"/>
    <w:rsid w:val="0048681C"/>
    <w:rsid w:val="00486E1C"/>
    <w:rsid w:val="00486EFE"/>
    <w:rsid w:val="00487E0E"/>
    <w:rsid w:val="00487FF0"/>
    <w:rsid w:val="00490640"/>
    <w:rsid w:val="00490CFC"/>
    <w:rsid w:val="00490F91"/>
    <w:rsid w:val="0049140C"/>
    <w:rsid w:val="00491497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2450"/>
    <w:rsid w:val="004C26C9"/>
    <w:rsid w:val="004C3AC1"/>
    <w:rsid w:val="004C3C96"/>
    <w:rsid w:val="004C3E51"/>
    <w:rsid w:val="004C40DE"/>
    <w:rsid w:val="004C4754"/>
    <w:rsid w:val="004C4825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5BA"/>
    <w:rsid w:val="004D7656"/>
    <w:rsid w:val="004D7963"/>
    <w:rsid w:val="004E0273"/>
    <w:rsid w:val="004E2D78"/>
    <w:rsid w:val="004E37C1"/>
    <w:rsid w:val="004E3E19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128D"/>
    <w:rsid w:val="0053139B"/>
    <w:rsid w:val="00531B7C"/>
    <w:rsid w:val="00531DBE"/>
    <w:rsid w:val="00532585"/>
    <w:rsid w:val="005328D4"/>
    <w:rsid w:val="00533055"/>
    <w:rsid w:val="00533DCE"/>
    <w:rsid w:val="0053491D"/>
    <w:rsid w:val="005374CF"/>
    <w:rsid w:val="005377D1"/>
    <w:rsid w:val="00537CDB"/>
    <w:rsid w:val="005414E8"/>
    <w:rsid w:val="00541B01"/>
    <w:rsid w:val="005436D6"/>
    <w:rsid w:val="005437FA"/>
    <w:rsid w:val="005466F8"/>
    <w:rsid w:val="00550453"/>
    <w:rsid w:val="0055078B"/>
    <w:rsid w:val="00550A1B"/>
    <w:rsid w:val="005527C3"/>
    <w:rsid w:val="00552832"/>
    <w:rsid w:val="00553360"/>
    <w:rsid w:val="00553E5E"/>
    <w:rsid w:val="005545B5"/>
    <w:rsid w:val="00554A2C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5C3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520D"/>
    <w:rsid w:val="005C5242"/>
    <w:rsid w:val="005C5D1D"/>
    <w:rsid w:val="005C5DA9"/>
    <w:rsid w:val="005C6FEB"/>
    <w:rsid w:val="005C7AFE"/>
    <w:rsid w:val="005C7BE4"/>
    <w:rsid w:val="005D057B"/>
    <w:rsid w:val="005D091F"/>
    <w:rsid w:val="005D0DF7"/>
    <w:rsid w:val="005D14B7"/>
    <w:rsid w:val="005D22DC"/>
    <w:rsid w:val="005D24D9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0881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104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845"/>
    <w:rsid w:val="006C622E"/>
    <w:rsid w:val="006C6B46"/>
    <w:rsid w:val="006C6D71"/>
    <w:rsid w:val="006C70DA"/>
    <w:rsid w:val="006C7474"/>
    <w:rsid w:val="006C75F9"/>
    <w:rsid w:val="006C7674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2A51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3CA"/>
    <w:rsid w:val="0070667D"/>
    <w:rsid w:val="00707023"/>
    <w:rsid w:val="0070745D"/>
    <w:rsid w:val="007075D0"/>
    <w:rsid w:val="00707B7A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9CC"/>
    <w:rsid w:val="00741CE2"/>
    <w:rsid w:val="0074243E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5120"/>
    <w:rsid w:val="007C514B"/>
    <w:rsid w:val="007C5B11"/>
    <w:rsid w:val="007C678D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F65"/>
    <w:rsid w:val="0080056E"/>
    <w:rsid w:val="00800646"/>
    <w:rsid w:val="00800B66"/>
    <w:rsid w:val="008020F2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2D6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480E"/>
    <w:rsid w:val="00815660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713E"/>
    <w:rsid w:val="0083786F"/>
    <w:rsid w:val="00837EB7"/>
    <w:rsid w:val="0084023E"/>
    <w:rsid w:val="00841551"/>
    <w:rsid w:val="00841AF6"/>
    <w:rsid w:val="00841E4F"/>
    <w:rsid w:val="0084319E"/>
    <w:rsid w:val="00843DA7"/>
    <w:rsid w:val="00844755"/>
    <w:rsid w:val="00845428"/>
    <w:rsid w:val="00845735"/>
    <w:rsid w:val="0084606F"/>
    <w:rsid w:val="00851476"/>
    <w:rsid w:val="00851C7D"/>
    <w:rsid w:val="00851CAF"/>
    <w:rsid w:val="00852627"/>
    <w:rsid w:val="008542B0"/>
    <w:rsid w:val="00855723"/>
    <w:rsid w:val="0085730D"/>
    <w:rsid w:val="00857D0B"/>
    <w:rsid w:val="0086206B"/>
    <w:rsid w:val="00863352"/>
    <w:rsid w:val="008633D9"/>
    <w:rsid w:val="0086429C"/>
    <w:rsid w:val="0086435E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1BCE"/>
    <w:rsid w:val="00871FFC"/>
    <w:rsid w:val="00872595"/>
    <w:rsid w:val="008726B9"/>
    <w:rsid w:val="008734D8"/>
    <w:rsid w:val="00873F9C"/>
    <w:rsid w:val="008741CC"/>
    <w:rsid w:val="00874EEA"/>
    <w:rsid w:val="008756E0"/>
    <w:rsid w:val="008758FF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6C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4EA9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C00C4"/>
    <w:rsid w:val="008C03DE"/>
    <w:rsid w:val="008C0974"/>
    <w:rsid w:val="008C0DAD"/>
    <w:rsid w:val="008C11DE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2DF6"/>
    <w:rsid w:val="0091378C"/>
    <w:rsid w:val="009138D4"/>
    <w:rsid w:val="00913911"/>
    <w:rsid w:val="00915E32"/>
    <w:rsid w:val="009161BF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2EF"/>
    <w:rsid w:val="00940A6A"/>
    <w:rsid w:val="009428DA"/>
    <w:rsid w:val="00942CAA"/>
    <w:rsid w:val="00943709"/>
    <w:rsid w:val="0094382C"/>
    <w:rsid w:val="00944383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5687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2E52"/>
    <w:rsid w:val="009A3923"/>
    <w:rsid w:val="009A4D1D"/>
    <w:rsid w:val="009A5530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27DE2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0452"/>
    <w:rsid w:val="00A416B1"/>
    <w:rsid w:val="00A4211B"/>
    <w:rsid w:val="00A423B7"/>
    <w:rsid w:val="00A4378C"/>
    <w:rsid w:val="00A441F8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63F4"/>
    <w:rsid w:val="00A96981"/>
    <w:rsid w:val="00A97133"/>
    <w:rsid w:val="00A976B8"/>
    <w:rsid w:val="00A97C12"/>
    <w:rsid w:val="00A97DE4"/>
    <w:rsid w:val="00AA0C9B"/>
    <w:rsid w:val="00AA1453"/>
    <w:rsid w:val="00AA2434"/>
    <w:rsid w:val="00AA2970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7400"/>
    <w:rsid w:val="00AD00E9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50B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F0B68"/>
    <w:rsid w:val="00AF12C7"/>
    <w:rsid w:val="00AF260F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5831"/>
    <w:rsid w:val="00B06444"/>
    <w:rsid w:val="00B07258"/>
    <w:rsid w:val="00B1002B"/>
    <w:rsid w:val="00B10F6A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21"/>
    <w:rsid w:val="00B23F42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18C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5BFD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7B0A"/>
    <w:rsid w:val="00C47FD7"/>
    <w:rsid w:val="00C5026A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D1E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1AB"/>
    <w:rsid w:val="00CB174E"/>
    <w:rsid w:val="00CB18F8"/>
    <w:rsid w:val="00CB25B6"/>
    <w:rsid w:val="00CB292A"/>
    <w:rsid w:val="00CB2AB3"/>
    <w:rsid w:val="00CB2D8D"/>
    <w:rsid w:val="00CB3977"/>
    <w:rsid w:val="00CB42FE"/>
    <w:rsid w:val="00CB5095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39A5"/>
    <w:rsid w:val="00CE46A7"/>
    <w:rsid w:val="00CE4A81"/>
    <w:rsid w:val="00CE5910"/>
    <w:rsid w:val="00CE6496"/>
    <w:rsid w:val="00CE77B9"/>
    <w:rsid w:val="00CE7B7A"/>
    <w:rsid w:val="00CF045C"/>
    <w:rsid w:val="00CF0AD4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207FB"/>
    <w:rsid w:val="00D20BC0"/>
    <w:rsid w:val="00D2147E"/>
    <w:rsid w:val="00D21F65"/>
    <w:rsid w:val="00D22251"/>
    <w:rsid w:val="00D2290D"/>
    <w:rsid w:val="00D22FD9"/>
    <w:rsid w:val="00D23256"/>
    <w:rsid w:val="00D248B0"/>
    <w:rsid w:val="00D24947"/>
    <w:rsid w:val="00D25141"/>
    <w:rsid w:val="00D2622C"/>
    <w:rsid w:val="00D265C6"/>
    <w:rsid w:val="00D266C3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575F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B0E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485A"/>
    <w:rsid w:val="00D74D08"/>
    <w:rsid w:val="00D761E0"/>
    <w:rsid w:val="00D76435"/>
    <w:rsid w:val="00D76BD9"/>
    <w:rsid w:val="00D76E01"/>
    <w:rsid w:val="00D80F6C"/>
    <w:rsid w:val="00D81359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4F59"/>
    <w:rsid w:val="00D9623F"/>
    <w:rsid w:val="00D97EE2"/>
    <w:rsid w:val="00DA0319"/>
    <w:rsid w:val="00DA1308"/>
    <w:rsid w:val="00DA15D2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5225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1BE4"/>
    <w:rsid w:val="00DD4034"/>
    <w:rsid w:val="00DD4B10"/>
    <w:rsid w:val="00DD5357"/>
    <w:rsid w:val="00DD5DA8"/>
    <w:rsid w:val="00DD6034"/>
    <w:rsid w:val="00DD6509"/>
    <w:rsid w:val="00DD6BC6"/>
    <w:rsid w:val="00DD7561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B88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3936"/>
    <w:rsid w:val="00ED3C6D"/>
    <w:rsid w:val="00ED4509"/>
    <w:rsid w:val="00ED6533"/>
    <w:rsid w:val="00ED6BE8"/>
    <w:rsid w:val="00ED6F91"/>
    <w:rsid w:val="00ED7055"/>
    <w:rsid w:val="00ED725D"/>
    <w:rsid w:val="00ED7839"/>
    <w:rsid w:val="00ED79B1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639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3D90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C7664"/>
    <w:rsid w:val="00FD00B8"/>
    <w:rsid w:val="00FD11AF"/>
    <w:rsid w:val="00FD19B9"/>
    <w:rsid w:val="00FD1E43"/>
    <w:rsid w:val="00FD28C7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FE407-837A-49AC-BB0F-2CC4DAD9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A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7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7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7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39BA-465B-464C-BC4D-F2E22632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31</cp:revision>
  <cp:lastPrinted>2017-11-20T13:52:00Z</cp:lastPrinted>
  <dcterms:created xsi:type="dcterms:W3CDTF">2017-09-24T22:51:00Z</dcterms:created>
  <dcterms:modified xsi:type="dcterms:W3CDTF">2017-11-20T13:54:00Z</dcterms:modified>
</cp:coreProperties>
</file>